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6EFF" w14:textId="77777777" w:rsidR="00613948" w:rsidRDefault="00613948">
      <w:pPr>
        <w:jc w:val="center"/>
        <w:rPr>
          <w:b/>
          <w:bCs/>
          <w:sz w:val="36"/>
          <w:szCs w:val="36"/>
        </w:rPr>
      </w:pPr>
    </w:p>
    <w:p w14:paraId="3FACDB0B" w14:textId="1AB93C1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i/>
          <w:iCs/>
          <w:kern w:val="1"/>
          <w:sz w:val="36"/>
          <w:szCs w:val="36"/>
          <w:lang w:val="nb-NO" w:eastAsia="hi-IN"/>
        </w:rPr>
      </w:pPr>
      <w:r>
        <w:rPr>
          <w:rFonts w:eastAsia="Arial Unicode MS" w:cs="Arial Unicode MS"/>
          <w:b/>
          <w:bCs/>
          <w:kern w:val="1"/>
          <w:sz w:val="36"/>
          <w:szCs w:val="36"/>
          <w:lang w:eastAsia="hi-IN"/>
        </w:rPr>
        <w:tab/>
      </w:r>
      <w:r>
        <w:rPr>
          <w:rFonts w:eastAsia="Arial Unicode MS" w:cs="Arial Unicode MS"/>
          <w:b/>
          <w:bCs/>
          <w:kern w:val="1"/>
          <w:sz w:val="36"/>
          <w:szCs w:val="36"/>
          <w:lang w:eastAsia="hi-IN"/>
        </w:rPr>
        <w:tab/>
      </w:r>
      <w:r>
        <w:rPr>
          <w:rFonts w:eastAsia="Arial Unicode MS" w:cs="Arial Unicode MS"/>
          <w:b/>
          <w:bCs/>
          <w:kern w:val="1"/>
          <w:sz w:val="36"/>
          <w:szCs w:val="36"/>
          <w:lang w:eastAsia="hi-IN"/>
        </w:rPr>
        <w:tab/>
      </w:r>
      <w:r>
        <w:rPr>
          <w:rFonts w:eastAsia="Arial Unicode MS" w:cs="Arial Unicode MS"/>
          <w:b/>
          <w:bCs/>
          <w:kern w:val="1"/>
          <w:sz w:val="36"/>
          <w:szCs w:val="36"/>
          <w:lang w:eastAsia="hi-IN"/>
        </w:rPr>
        <w:tab/>
        <w:t xml:space="preserve">      </w:t>
      </w:r>
      <w:r w:rsidRPr="00776C8A">
        <w:rPr>
          <w:rFonts w:eastAsia="Arial Unicode MS" w:cs="Arial Unicode MS"/>
          <w:b/>
          <w:bCs/>
          <w:i/>
          <w:iCs/>
          <w:kern w:val="1"/>
          <w:sz w:val="36"/>
          <w:szCs w:val="36"/>
          <w:lang w:val="nb-NO" w:eastAsia="hi-IN"/>
        </w:rPr>
        <w:t>Tíðindaskriv</w:t>
      </w:r>
    </w:p>
    <w:p w14:paraId="156A73AC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36"/>
          <w:szCs w:val="36"/>
          <w:lang w:val="nb-NO" w:eastAsia="hi-IN"/>
        </w:rPr>
      </w:pPr>
    </w:p>
    <w:p w14:paraId="6C7F4F9C" w14:textId="2F789304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36"/>
          <w:szCs w:val="36"/>
          <w:lang w:val="nb-NO" w:eastAsia="hi-IN"/>
        </w:rPr>
      </w:pPr>
      <w:r w:rsidRPr="00776C8A">
        <w:rPr>
          <w:rFonts w:eastAsia="Arial Unicode MS" w:cs="Arial Unicode MS"/>
          <w:b/>
          <w:bCs/>
          <w:kern w:val="1"/>
          <w:sz w:val="36"/>
          <w:szCs w:val="36"/>
          <w:lang w:val="nb-NO" w:eastAsia="hi-IN"/>
        </w:rPr>
        <w:t>Eitt Europa fyri allar aldursbólkar</w:t>
      </w:r>
    </w:p>
    <w:p w14:paraId="6B1E03D6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36"/>
          <w:szCs w:val="36"/>
          <w:lang w:val="nb-NO" w:eastAsia="hi-IN"/>
        </w:rPr>
      </w:pPr>
    </w:p>
    <w:p w14:paraId="798625CB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</w:pP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Vit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hava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ta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fatan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, at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aldursmismunur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longu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nú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kann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ávirka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heilsuna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hjá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eldri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fólki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,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trivnaðin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og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eina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komandi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longda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livitíð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skeiva</w:t>
      </w:r>
      <w:proofErr w:type="spellEnd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 xml:space="preserve"> </w:t>
      </w:r>
      <w:proofErr w:type="spellStart"/>
      <w:r w:rsidRPr="00776C8A"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  <w:t>vegin</w:t>
      </w:r>
      <w:proofErr w:type="spellEnd"/>
    </w:p>
    <w:p w14:paraId="2A64E318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i/>
          <w:iCs/>
          <w:kern w:val="1"/>
          <w:sz w:val="28"/>
          <w:szCs w:val="28"/>
          <w:lang w:eastAsia="hi-IN"/>
        </w:rPr>
      </w:pPr>
    </w:p>
    <w:p w14:paraId="7B68DD6B" w14:textId="05E0A276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AGE Platform Europe, sum Landsfelag Pensjónista er ein partur av gjøgnum limaskap okkara í NSK, Nordisk Samarbets Komité, hevur sent út eitt </w:t>
      </w:r>
      <w:r>
        <w:rPr>
          <w:rFonts w:eastAsia="Arial Unicode MS" w:cs="Arial Unicode MS"/>
          <w:kern w:val="1"/>
          <w:sz w:val="28"/>
          <w:szCs w:val="28"/>
          <w:lang w:val="nb-NO" w:eastAsia="hi-IN"/>
        </w:rPr>
        <w:t>felags</w:t>
      </w: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skriv um støðuna innan eldraøkið í Europa. Skrivið, sum ein arbeiðsbólkur innan AGE Platform Europe, hevur fest á blað, er grundað á Europa</w:t>
      </w:r>
      <w:r>
        <w:rPr>
          <w:rFonts w:eastAsia="Arial Unicode MS" w:cs="Arial Unicode MS"/>
          <w:kern w:val="1"/>
          <w:sz w:val="28"/>
          <w:szCs w:val="28"/>
          <w:lang w:val="nb-NO" w:eastAsia="hi-IN"/>
        </w:rPr>
        <w:t>-</w:t>
      </w: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Parlamentsvalið, sum verður 6</w:t>
      </w:r>
      <w:r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. </w:t>
      </w: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-</w:t>
      </w:r>
      <w:r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 </w:t>
      </w: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9. juni 2024.</w:t>
      </w:r>
    </w:p>
    <w:p w14:paraId="01033993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73C47EDC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Í stuttum kann upplýsast, at AGE Platform Europe er eitt europeiskt netverk av feløgum, sum arbeiða við at menna áhugamál og rættindi hjá eldri fólki. </w:t>
      </w:r>
    </w:p>
    <w:p w14:paraId="5443C28C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468B4735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32"/>
          <w:szCs w:val="32"/>
          <w:lang w:val="nb-NO" w:eastAsia="hi-IN"/>
        </w:rPr>
      </w:pPr>
      <w:r w:rsidRPr="00776C8A">
        <w:rPr>
          <w:rFonts w:eastAsia="Arial Unicode MS" w:cs="Arial Unicode MS"/>
          <w:b/>
          <w:bCs/>
          <w:kern w:val="1"/>
          <w:sz w:val="32"/>
          <w:szCs w:val="32"/>
          <w:lang w:val="nb-NO" w:eastAsia="hi-IN"/>
        </w:rPr>
        <w:t>Mismunisgjógvin skal burtur</w:t>
      </w:r>
    </w:p>
    <w:p w14:paraId="683787A1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28"/>
          <w:szCs w:val="28"/>
          <w:lang w:val="nb-NO" w:eastAsia="hi-IN"/>
        </w:rPr>
      </w:pPr>
    </w:p>
    <w:p w14:paraId="355B215A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Alt bendir á, at vit í Europa liva munandi longri enn okkara forfedrar. Tað er okkara heilsugóði liviháttur, ið ger tað. Tøl benda á, at størsti partur av børnunum, sum verða fødd í Europa í dag, kunnu rokna við at liva í 100 ár ella uppaftur longri.</w:t>
      </w:r>
    </w:p>
    <w:p w14:paraId="041B48D3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Men gera vit ikki okkurt munagott fyri hendan vaksandi aldursbólk, koma tey ikki at hava tað so gott, sum vit hava tað í dag. Og er tað nakað, sum vit av øllum alvi mugu royna at sleppa undan, er tað, at mismunisgjógvin gerst størri, enn hon longu er.  </w:t>
      </w:r>
    </w:p>
    <w:p w14:paraId="25C572F0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22D72214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Vit hava ta fatan, at aldursmismunur longu nú kann ávirka heilsu okkara, trivnaðin og eina komandi longda livitíð skeiva vegin.</w:t>
      </w:r>
    </w:p>
    <w:p w14:paraId="32431848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Hvussu galið tað kann verða, vísir AGE Platforme Europe við aktuella døminum um støðuna innan eldraøkið, tá COVID-19 herjaði um allan heim. Tá vóru mannarættindini verri enn so hildin alla staðni, tá tað snúði seg um eldri fólk.</w:t>
      </w:r>
    </w:p>
    <w:p w14:paraId="530752C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5AFF873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Neyðugt er tískil at sleppa undan aldursmismuni við at fáa rættindini fest í lógarverkið, so vit í framtíðini framvegis eru ein partur av samfelagnum á sama hátt sum allir aðrir samfelagsbólkar.</w:t>
      </w:r>
    </w:p>
    <w:p w14:paraId="17F32A8A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66B3B6A3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32"/>
          <w:szCs w:val="32"/>
          <w:lang w:val="nb-NO" w:eastAsia="hi-IN"/>
        </w:rPr>
      </w:pPr>
      <w:r w:rsidRPr="00776C8A">
        <w:rPr>
          <w:rFonts w:eastAsia="Arial Unicode MS" w:cs="Arial Unicode MS"/>
          <w:b/>
          <w:bCs/>
          <w:kern w:val="1"/>
          <w:sz w:val="32"/>
          <w:szCs w:val="32"/>
          <w:lang w:val="nb-NO" w:eastAsia="hi-IN"/>
        </w:rPr>
        <w:t>Eldri fólk við uppá ráð</w:t>
      </w:r>
    </w:p>
    <w:p w14:paraId="1772887F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b/>
          <w:bCs/>
          <w:kern w:val="1"/>
          <w:sz w:val="28"/>
          <w:szCs w:val="28"/>
          <w:lang w:val="nb-NO" w:eastAsia="hi-IN"/>
        </w:rPr>
      </w:pPr>
    </w:p>
    <w:p w14:paraId="1FEB3E9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Nógv eldri fólk arbeiða framvegis og eru politiskt virkin, vit taka lut í sjálvbodnum arbeiði, vit hava umsorgan fyri yngra ættarliðnum, og vit ynskja, at hesir møguleikar ikki verða tiknir frá okkum.</w:t>
      </w:r>
    </w:p>
    <w:p w14:paraId="1ECCE12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48C8C33D" w14:textId="77777777" w:rsid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 xml:space="preserve">AGE Platform Europe heitir á komandi Europa-Parlamentið um at fremja </w:t>
      </w:r>
    </w:p>
    <w:p w14:paraId="0FEBD776" w14:textId="77777777" w:rsid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34E654C8" w14:textId="58F6D23A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javnrættindi innan allar aldursbólkar, at strika higartil galdandi siðvenjur innan aldursmismun, o.a.</w:t>
      </w:r>
    </w:p>
    <w:p w14:paraId="034F5EAB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16EF69B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Somuleiðis verður mælt til at gera eina EU-konventión, sum tekur atlit til rættindini hjá eldri fólki og sum stuðlar undir løgfrøðisligum reformum, har alt slag av aldursmismuni verður forboðið.</w:t>
      </w:r>
    </w:p>
    <w:p w14:paraId="79B74FAC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08786130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Heitt verður somuleiðis á komandi Europa-Parlamentið at taka eldri fólk við uppá ráð, tá tað snýr seg um mentan, rættartrygd, upplæring og m.a. førleikar innan talgildisnýtslu.</w:t>
      </w:r>
    </w:p>
    <w:p w14:paraId="0D3530E7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4CA1C5D0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Hetta og mong onnur mál, eru nøkur av teimum, ið ein arbeiðsbólkur í AGE Platform Europe mælir komandi Europa-Parlamentinum at taka sær av og fremja í næstum.</w:t>
      </w:r>
    </w:p>
    <w:p w14:paraId="752EA9BB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1A325DBA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Argir 28.02.2024</w:t>
      </w:r>
    </w:p>
    <w:p w14:paraId="1942668A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</w:p>
    <w:p w14:paraId="236477ED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Beate L. Samuelsen, forkvinna</w:t>
      </w:r>
    </w:p>
    <w:p w14:paraId="605996FD" w14:textId="77777777" w:rsidR="00776C8A" w:rsidRPr="00776C8A" w:rsidRDefault="00776C8A" w:rsidP="00776C8A">
      <w:pPr>
        <w:autoSpaceDN/>
        <w:textAlignment w:val="auto"/>
        <w:rPr>
          <w:rFonts w:eastAsia="Arial Unicode MS" w:cs="Arial Unicode MS"/>
          <w:kern w:val="1"/>
          <w:sz w:val="28"/>
          <w:szCs w:val="28"/>
          <w:lang w:val="nb-NO" w:eastAsia="hi-IN"/>
        </w:rPr>
      </w:pPr>
      <w:r w:rsidRPr="00776C8A">
        <w:rPr>
          <w:rFonts w:eastAsia="Arial Unicode MS" w:cs="Arial Unicode MS"/>
          <w:kern w:val="1"/>
          <w:sz w:val="28"/>
          <w:szCs w:val="28"/>
          <w:lang w:val="nb-NO" w:eastAsia="hi-IN"/>
        </w:rPr>
        <w:t>Landsfelag Pensjónista</w:t>
      </w:r>
    </w:p>
    <w:p w14:paraId="15E76F00" w14:textId="77777777" w:rsidR="00613948" w:rsidRPr="00776C8A" w:rsidRDefault="00613948">
      <w:pPr>
        <w:jc w:val="center"/>
        <w:rPr>
          <w:b/>
          <w:bCs/>
          <w:sz w:val="36"/>
          <w:szCs w:val="36"/>
          <w:lang w:val="nb-NO"/>
        </w:rPr>
      </w:pPr>
    </w:p>
    <w:p w14:paraId="15E76F01" w14:textId="77777777" w:rsidR="00613948" w:rsidRPr="00776C8A" w:rsidRDefault="00613948">
      <w:pPr>
        <w:jc w:val="center"/>
        <w:rPr>
          <w:b/>
          <w:bCs/>
          <w:sz w:val="36"/>
          <w:szCs w:val="36"/>
          <w:lang w:val="nb-NO"/>
        </w:rPr>
      </w:pPr>
    </w:p>
    <w:sectPr w:rsidR="00613948" w:rsidRPr="00776C8A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6F03" w14:textId="77777777" w:rsidR="00776C8A" w:rsidRDefault="00776C8A">
      <w:r>
        <w:separator/>
      </w:r>
    </w:p>
  </w:endnote>
  <w:endnote w:type="continuationSeparator" w:id="0">
    <w:p w14:paraId="15E76F05" w14:textId="77777777" w:rsidR="00776C8A" w:rsidRDefault="007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F09" w14:textId="77777777" w:rsidR="00776C8A" w:rsidRPr="00776C8A" w:rsidRDefault="00776C8A">
    <w:pPr>
      <w:pStyle w:val="Sidefod"/>
      <w:jc w:val="center"/>
      <w:rPr>
        <w:lang w:val="nb-NO"/>
      </w:rPr>
    </w:pPr>
    <w:r w:rsidRPr="00776C8A">
      <w:rPr>
        <w:lang w:val="nb-NO"/>
      </w:rPr>
      <w:t xml:space="preserve">Løkjatún 1       FO-160 Argir        tlf. +298 219394       </w:t>
    </w:r>
    <w:hyperlink r:id="rId1" w:history="1">
      <w:r w:rsidRPr="00776C8A">
        <w:rPr>
          <w:rStyle w:val="Hyperlink"/>
          <w:lang w:val="nb-NO"/>
        </w:rPr>
        <w:t>lp@eldri.fo</w:t>
      </w:r>
    </w:hyperlink>
    <w:r w:rsidRPr="00776C8A">
      <w:rPr>
        <w:lang w:val="nb-NO"/>
      </w:rPr>
      <w:t xml:space="preserve">     www.eldri.fo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6EFF" w14:textId="77777777" w:rsidR="00776C8A" w:rsidRDefault="00776C8A">
      <w:r>
        <w:rPr>
          <w:color w:val="000000"/>
        </w:rPr>
        <w:separator/>
      </w:r>
    </w:p>
  </w:footnote>
  <w:footnote w:type="continuationSeparator" w:id="0">
    <w:p w14:paraId="15E76F01" w14:textId="77777777" w:rsidR="00776C8A" w:rsidRDefault="0077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F07" w14:textId="77777777" w:rsidR="00776C8A" w:rsidRDefault="00776C8A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>Landsfelag Pensjónista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3948"/>
    <w:rsid w:val="00613948"/>
    <w:rsid w:val="007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EFF"/>
  <w15:docId w15:val="{1A6EAA17-85E3-43C0-B8E5-01F3FBB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Mangal"/>
      <w:sz w:val="18"/>
      <w:szCs w:val="16"/>
    </w:rPr>
  </w:style>
  <w:style w:type="paragraph" w:customStyle="1" w:styleId="DateTime">
    <w:name w:val="Date &amp; Time"/>
    <w:basedOn w:val="Normal"/>
    <w:pPr>
      <w:widowControl/>
      <w:suppressAutoHyphens w:val="0"/>
      <w:jc w:val="center"/>
      <w:textAlignment w:val="auto"/>
    </w:pPr>
    <w:rPr>
      <w:rFonts w:ascii="Calibri Light" w:eastAsia="Calibri" w:hAnsi="Calibri Light" w:cs="Calibri Light"/>
      <w:color w:val="7B7B7B"/>
      <w:kern w:val="0"/>
      <w:sz w:val="52"/>
      <w:szCs w:val="52"/>
      <w:lang w:val="fo-FO" w:eastAsia="en-US" w:bidi="ar-SA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@eldri.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Gunnleyg LP</dc:creator>
  <cp:lastModifiedBy>Landsfelag Pensjónista</cp:lastModifiedBy>
  <cp:revision>2</cp:revision>
  <cp:lastPrinted>2024-02-28T12:14:00Z</cp:lastPrinted>
  <dcterms:created xsi:type="dcterms:W3CDTF">2024-02-28T12:16:00Z</dcterms:created>
  <dcterms:modified xsi:type="dcterms:W3CDTF">2024-02-28T12:16:00Z</dcterms:modified>
</cp:coreProperties>
</file>